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A4" w:rsidRDefault="00C101A4" w:rsidP="00C101A4">
      <w:pPr>
        <w:pStyle w:val="Textoindependiente2"/>
        <w:tabs>
          <w:tab w:val="clear" w:pos="4252"/>
          <w:tab w:val="clear" w:pos="8504"/>
        </w:tabs>
        <w:jc w:val="center"/>
        <w:rPr>
          <w:b/>
          <w:bCs/>
          <w:sz w:val="22"/>
          <w:szCs w:val="22"/>
          <w:lang w:val="es-ES_tradnl"/>
        </w:rPr>
      </w:pPr>
      <w:r>
        <w:rPr>
          <w:b/>
          <w:bCs/>
          <w:sz w:val="22"/>
          <w:szCs w:val="22"/>
          <w:lang w:val="es-ES_tradnl"/>
        </w:rPr>
        <w:t>CUADRO RESUMEN</w:t>
      </w:r>
    </w:p>
    <w:p w:rsidR="00C101A4" w:rsidRDefault="00C101A4" w:rsidP="00C101A4">
      <w:pPr>
        <w:pStyle w:val="Textoindependiente2"/>
        <w:tabs>
          <w:tab w:val="clear" w:pos="4252"/>
          <w:tab w:val="clear" w:pos="8504"/>
        </w:tabs>
        <w:jc w:val="center"/>
        <w:rPr>
          <w:b/>
          <w:bCs/>
          <w:sz w:val="22"/>
          <w:szCs w:val="22"/>
          <w:lang w:val="es-ES_tradnl"/>
        </w:rPr>
      </w:pPr>
    </w:p>
    <w:p w:rsidR="00C101A4" w:rsidRDefault="00C101A4" w:rsidP="00C101A4">
      <w:pPr>
        <w:pStyle w:val="Textoindependiente2"/>
        <w:tabs>
          <w:tab w:val="clear" w:pos="4252"/>
          <w:tab w:val="clear" w:pos="8504"/>
        </w:tabs>
        <w:rPr>
          <w:b/>
          <w:bCs/>
        </w:rPr>
      </w:pPr>
      <w:r>
        <w:rPr>
          <w:b/>
          <w:bCs/>
        </w:rPr>
        <w:t xml:space="preserve">Expediente: </w:t>
      </w:r>
      <w:r w:rsidR="004571C4">
        <w:rPr>
          <w:b/>
          <w:bCs/>
        </w:rPr>
        <w:t>2</w:t>
      </w:r>
      <w:r>
        <w:rPr>
          <w:b/>
          <w:bCs/>
        </w:rPr>
        <w:t>/2018</w:t>
      </w:r>
    </w:p>
    <w:p w:rsidR="00C101A4" w:rsidRDefault="00C101A4" w:rsidP="00C101A4">
      <w:pPr>
        <w:pStyle w:val="Textoindependiente2"/>
        <w:tabs>
          <w:tab w:val="clear" w:pos="4252"/>
          <w:tab w:val="clear" w:pos="8504"/>
        </w:tabs>
        <w:rPr>
          <w:b/>
          <w:bCs/>
        </w:rPr>
      </w:pPr>
    </w:p>
    <w:p w:rsidR="00C101A4" w:rsidRDefault="00C101A4" w:rsidP="00C101A4">
      <w:pPr>
        <w:jc w:val="both"/>
        <w:rPr>
          <w:rFonts w:ascii="Arial" w:hAnsi="Arial" w:cs="Arial"/>
          <w:b/>
          <w:bCs/>
        </w:rPr>
      </w:pPr>
      <w:r>
        <w:rPr>
          <w:rFonts w:ascii="Arial" w:hAnsi="Arial" w:cs="Arial"/>
          <w:b/>
          <w:bCs/>
        </w:rPr>
        <w:t>CONTRATACIÓN DEL SERVICIO DE PREVENCIÓN DE RIESGOS LABORALES Y VIGILANCIA DE LA SALUD  DEL CONSORCIO ORQUESTA CIUDAD DE MÁLAGA  POR PROCEDIMIENTO ABIERTO SIMPLIFICADO.</w:t>
      </w:r>
    </w:p>
    <w:p w:rsidR="00C101A4" w:rsidRDefault="00C101A4" w:rsidP="00C101A4">
      <w:pPr>
        <w:pStyle w:val="Textoindependiente2"/>
        <w:tabs>
          <w:tab w:val="clear" w:pos="4252"/>
          <w:tab w:val="clear" w:pos="8504"/>
        </w:tabs>
        <w:rPr>
          <w:b/>
          <w:bCs/>
        </w:rPr>
      </w:pPr>
    </w:p>
    <w:p w:rsidR="00C101A4" w:rsidRDefault="00C101A4" w:rsidP="00C101A4">
      <w:pPr>
        <w:pStyle w:val="Textoindependiente2"/>
        <w:tabs>
          <w:tab w:val="clear" w:pos="4252"/>
          <w:tab w:val="clear" w:pos="8504"/>
        </w:tabs>
        <w:rPr>
          <w:b/>
          <w:bCs/>
        </w:rPr>
      </w:pPr>
    </w:p>
    <w:p w:rsidR="00C101A4" w:rsidRDefault="00C101A4" w:rsidP="00C101A4">
      <w:pPr>
        <w:pStyle w:val="Textoindependiente2"/>
        <w:tabs>
          <w:tab w:val="clear" w:pos="4252"/>
          <w:tab w:val="clear" w:pos="8504"/>
        </w:tabs>
        <w:rPr>
          <w:b/>
          <w:bCs/>
        </w:rPr>
      </w:pPr>
      <w:r>
        <w:rPr>
          <w:b/>
          <w:bCs/>
        </w:rPr>
        <w:t xml:space="preserve">PROCEDIMIENTO ABIERTO SIMPLIFICADO. </w:t>
      </w:r>
    </w:p>
    <w:p w:rsidR="00C101A4" w:rsidRDefault="00C101A4" w:rsidP="00C101A4">
      <w:r>
        <w:t xml:space="preserve">TRÁMITE </w:t>
      </w:r>
      <w:r w:rsidR="004571C4">
        <w:t>SUPERSIMPLIFICADO</w:t>
      </w:r>
    </w:p>
    <w:p w:rsidR="00C101A4" w:rsidRDefault="00C101A4" w:rsidP="00C101A4">
      <w:pPr>
        <w:pStyle w:val="Textoindependiente2"/>
        <w:tabs>
          <w:tab w:val="clear" w:pos="4252"/>
          <w:tab w:val="clear" w:pos="8504"/>
        </w:tabs>
      </w:pPr>
    </w:p>
    <w:p w:rsidR="00C101A4" w:rsidRDefault="00C101A4" w:rsidP="00C101A4">
      <w:pPr>
        <w:pStyle w:val="Textoindependiente2"/>
        <w:tabs>
          <w:tab w:val="clear" w:pos="4252"/>
          <w:tab w:val="clear" w:pos="8504"/>
        </w:tabs>
        <w:rPr>
          <w:b/>
          <w:bCs/>
        </w:rPr>
      </w:pPr>
      <w:r>
        <w:rPr>
          <w:b/>
          <w:bCs/>
        </w:rPr>
        <w:t>A) OBJETO DEL CONTRATO</w:t>
      </w:r>
    </w:p>
    <w:p w:rsidR="00C101A4" w:rsidRDefault="00C101A4" w:rsidP="00C101A4">
      <w:pPr>
        <w:jc w:val="both"/>
        <w:rPr>
          <w:rFonts w:ascii="Arial" w:hAnsi="Arial" w:cs="Arial"/>
        </w:rPr>
      </w:pPr>
      <w:r>
        <w:rPr>
          <w:rFonts w:ascii="Arial" w:hAnsi="Arial" w:cs="Arial"/>
        </w:rPr>
        <w:t>El contrato que, en base al presente pliego se realice, tendrá por objeto la prestación del Servicio de Prevención de Riesgos Laborales y Vigilancia de la Salud del Consorcio Orquesta Ciudad de Málaga. La oferta deberá informar del plan de prevención de riesgos, la evaluación de los factores de riesgo laboral y planificación de la acción preventiva, el control de la eficacia de las medidas preventivas adoptadas así como la información y formación a los trabajadores del Consorcio.</w:t>
      </w:r>
    </w:p>
    <w:p w:rsidR="00C101A4" w:rsidRDefault="00C101A4" w:rsidP="00C101A4">
      <w:pPr>
        <w:jc w:val="both"/>
        <w:rPr>
          <w:rFonts w:ascii="Arial" w:hAnsi="Arial" w:cs="Arial"/>
        </w:rPr>
      </w:pPr>
    </w:p>
    <w:p w:rsidR="00C101A4" w:rsidRDefault="00C101A4" w:rsidP="00C101A4">
      <w:pPr>
        <w:jc w:val="both"/>
        <w:rPr>
          <w:rFonts w:ascii="Arial" w:hAnsi="Arial" w:cs="Arial"/>
        </w:rPr>
      </w:pPr>
      <w:r>
        <w:rPr>
          <w:rFonts w:ascii="Arial" w:hAnsi="Arial" w:cs="Arial"/>
        </w:rPr>
        <w:t>La propuesta económica deberá venir detallada en función de la oferta individualización de los siguientes servicios en base a una plantilla de 100 trabajadores:</w:t>
      </w:r>
    </w:p>
    <w:p w:rsidR="00C101A4" w:rsidRDefault="00C101A4" w:rsidP="00C101A4">
      <w:pPr>
        <w:jc w:val="both"/>
        <w:rPr>
          <w:rFonts w:ascii="Arial" w:hAnsi="Arial" w:cs="Arial"/>
        </w:rPr>
      </w:pPr>
    </w:p>
    <w:p w:rsidR="00C101A4" w:rsidRDefault="00C101A4" w:rsidP="00C101A4">
      <w:pPr>
        <w:pStyle w:val="Prrafodelista"/>
        <w:numPr>
          <w:ilvl w:val="0"/>
          <w:numId w:val="1"/>
        </w:numPr>
        <w:rPr>
          <w:bCs/>
        </w:rPr>
      </w:pPr>
      <w:r>
        <w:rPr>
          <w:bCs/>
        </w:rPr>
        <w:t>Servicio de Prevención de Riesgos Laborales, Seguridad e Higiene y Ergonomía</w:t>
      </w:r>
    </w:p>
    <w:p w:rsidR="00C101A4" w:rsidRPr="00C429E0" w:rsidRDefault="00C101A4" w:rsidP="00C101A4">
      <w:pPr>
        <w:pStyle w:val="Prrafodelista"/>
        <w:numPr>
          <w:ilvl w:val="0"/>
          <w:numId w:val="1"/>
        </w:numPr>
        <w:rPr>
          <w:bCs/>
        </w:rPr>
      </w:pPr>
      <w:r>
        <w:rPr>
          <w:bCs/>
        </w:rPr>
        <w:t>Vigilancia de la Salud</w:t>
      </w:r>
    </w:p>
    <w:p w:rsidR="00C101A4" w:rsidRDefault="00C101A4" w:rsidP="00C101A4">
      <w:pPr>
        <w:jc w:val="both"/>
        <w:rPr>
          <w:rFonts w:ascii="Arial" w:hAnsi="Arial" w:cs="Arial"/>
        </w:rPr>
      </w:pPr>
    </w:p>
    <w:p w:rsidR="00C101A4" w:rsidRDefault="00C101A4" w:rsidP="00C101A4">
      <w:pPr>
        <w:pStyle w:val="Textoindependiente2"/>
        <w:tabs>
          <w:tab w:val="clear" w:pos="4252"/>
          <w:tab w:val="clear" w:pos="8504"/>
        </w:tabs>
        <w:jc w:val="left"/>
        <w:rPr>
          <w:rFonts w:ascii="Times New Roman" w:hAnsi="Times New Roman" w:cs="Times New Roman"/>
        </w:rPr>
      </w:pPr>
      <w:r>
        <w:t>Los servicios podrán ampliarse por la incorporación de nuevos trabajadores en el Consorcio, de conformidad con la parte contratista</w:t>
      </w:r>
      <w:r>
        <w:rPr>
          <w:rFonts w:ascii="Times New Roman" w:hAnsi="Times New Roman" w:cs="Times New Roman"/>
        </w:rPr>
        <w:t>.</w:t>
      </w:r>
    </w:p>
    <w:p w:rsidR="00C101A4" w:rsidRDefault="00C101A4" w:rsidP="00C101A4">
      <w:pPr>
        <w:pStyle w:val="Textoindependiente"/>
        <w:rPr>
          <w:rFonts w:ascii="Arial" w:hAnsi="Arial" w:cs="Arial"/>
        </w:rPr>
      </w:pPr>
    </w:p>
    <w:p w:rsidR="00C101A4" w:rsidRDefault="00C101A4" w:rsidP="00C101A4">
      <w:pPr>
        <w:rPr>
          <w:b/>
          <w:bCs/>
        </w:rPr>
      </w:pPr>
      <w:r>
        <w:rPr>
          <w:b/>
          <w:bCs/>
        </w:rPr>
        <w:t>B) EJECUCIÓN DEL CONTRATO.</w:t>
      </w:r>
    </w:p>
    <w:p w:rsidR="00C101A4" w:rsidRDefault="00C101A4" w:rsidP="00C101A4">
      <w:pPr>
        <w:pStyle w:val="Textoindependiente2"/>
        <w:tabs>
          <w:tab w:val="clear" w:pos="4252"/>
          <w:tab w:val="clear" w:pos="8504"/>
        </w:tabs>
      </w:pPr>
      <w:r>
        <w:t>Del 1 de Enero de 20</w:t>
      </w:r>
      <w:r w:rsidR="00C3004A">
        <w:t>20</w:t>
      </w:r>
      <w:r>
        <w:t xml:space="preserve"> al 31 de Diciembre de 202</w:t>
      </w:r>
      <w:r w:rsidR="00C3004A">
        <w:t>1</w:t>
      </w:r>
    </w:p>
    <w:p w:rsidR="00C101A4" w:rsidRDefault="00C101A4" w:rsidP="00C101A4">
      <w:pPr>
        <w:pStyle w:val="Textoindependiente2"/>
        <w:tabs>
          <w:tab w:val="clear" w:pos="4252"/>
          <w:tab w:val="clear" w:pos="8504"/>
        </w:tabs>
      </w:pPr>
    </w:p>
    <w:p w:rsidR="00C101A4" w:rsidRPr="004571C4" w:rsidRDefault="00C101A4" w:rsidP="00C101A4">
      <w:pPr>
        <w:rPr>
          <w:rFonts w:ascii="Arial" w:hAnsi="Arial" w:cs="Arial"/>
          <w:sz w:val="22"/>
          <w:szCs w:val="22"/>
        </w:rPr>
      </w:pPr>
      <w:r w:rsidRPr="004571C4">
        <w:rPr>
          <w:b/>
          <w:bCs/>
          <w:sz w:val="22"/>
          <w:szCs w:val="22"/>
        </w:rPr>
        <w:t xml:space="preserve">C) FORMA DE ADJUDICACIÓN: </w:t>
      </w:r>
      <w:r w:rsidRPr="004571C4">
        <w:rPr>
          <w:sz w:val="22"/>
          <w:szCs w:val="22"/>
        </w:rPr>
        <w:t xml:space="preserve">PROCEDIMIENTO ABIERTO </w:t>
      </w:r>
      <w:r w:rsidR="004571C4" w:rsidRPr="004571C4">
        <w:rPr>
          <w:sz w:val="22"/>
          <w:szCs w:val="22"/>
        </w:rPr>
        <w:t>SUPER</w:t>
      </w:r>
      <w:r w:rsidRPr="004571C4">
        <w:rPr>
          <w:sz w:val="22"/>
          <w:szCs w:val="22"/>
        </w:rPr>
        <w:t>SIMPLIFICADO</w:t>
      </w:r>
    </w:p>
    <w:p w:rsidR="00C101A4" w:rsidRDefault="00C101A4" w:rsidP="00C101A4"/>
    <w:p w:rsidR="00C101A4" w:rsidRDefault="00C101A4" w:rsidP="00C101A4">
      <w:pPr>
        <w:rPr>
          <w:rFonts w:ascii="Arial" w:hAnsi="Arial" w:cs="Arial"/>
        </w:rPr>
      </w:pPr>
      <w:r>
        <w:rPr>
          <w:b/>
          <w:bCs/>
        </w:rPr>
        <w:t>D) RECEPCIÓN DE PROPOSICIONES</w:t>
      </w:r>
      <w:r>
        <w:t xml:space="preserve">: </w:t>
      </w:r>
      <w:r>
        <w:rPr>
          <w:rFonts w:ascii="Arial" w:hAnsi="Arial" w:cs="Arial"/>
        </w:rPr>
        <w:t>1</w:t>
      </w:r>
      <w:r w:rsidR="00C92E67">
        <w:rPr>
          <w:rFonts w:ascii="Arial" w:hAnsi="Arial" w:cs="Arial"/>
        </w:rPr>
        <w:t>0</w:t>
      </w:r>
      <w:r>
        <w:rPr>
          <w:rFonts w:ascii="Arial" w:hAnsi="Arial" w:cs="Arial"/>
        </w:rPr>
        <w:t xml:space="preserve"> días desde el anuncio en el perfil del contratante.</w:t>
      </w:r>
    </w:p>
    <w:p w:rsidR="00C101A4" w:rsidRDefault="00C101A4" w:rsidP="00C101A4">
      <w:pPr>
        <w:rPr>
          <w:b/>
          <w:bCs/>
        </w:rPr>
      </w:pPr>
    </w:p>
    <w:p w:rsidR="00C101A4" w:rsidRDefault="00C101A4" w:rsidP="00C101A4">
      <w:pPr>
        <w:rPr>
          <w:b/>
          <w:bCs/>
        </w:rPr>
      </w:pPr>
      <w:r>
        <w:rPr>
          <w:b/>
          <w:bCs/>
        </w:rPr>
        <w:t>E) PRESUPUESTO Y VIGENCIA DEL CONTRATO.</w:t>
      </w:r>
    </w:p>
    <w:p w:rsidR="00C101A4" w:rsidRDefault="00C101A4" w:rsidP="00C101A4">
      <w:pPr>
        <w:rPr>
          <w:rFonts w:ascii="Arial" w:hAnsi="Arial" w:cs="Arial"/>
        </w:rPr>
      </w:pPr>
      <w:r>
        <w:rPr>
          <w:rFonts w:ascii="Arial" w:hAnsi="Arial" w:cs="Arial"/>
        </w:rPr>
        <w:t xml:space="preserve">El  importe máximo de licitación asciende a la cantidad de </w:t>
      </w:r>
      <w:r>
        <w:rPr>
          <w:rFonts w:ascii="Arial" w:hAnsi="Arial" w:cs="Arial"/>
          <w:b/>
          <w:bCs/>
        </w:rPr>
        <w:t xml:space="preserve"> 6.630 euros anuales</w:t>
      </w:r>
      <w:r>
        <w:rPr>
          <w:rFonts w:ascii="Arial" w:hAnsi="Arial" w:cs="Arial"/>
        </w:rPr>
        <w:t>, conforme con el siguiente detalle:</w:t>
      </w:r>
    </w:p>
    <w:p w:rsidR="00C101A4" w:rsidRDefault="00C101A4" w:rsidP="00C101A4">
      <w:pPr>
        <w:rPr>
          <w:rFonts w:ascii="Arial" w:hAnsi="Arial" w:cs="Arial"/>
        </w:rPr>
      </w:pPr>
    </w:p>
    <w:p w:rsidR="00C101A4" w:rsidRDefault="00C101A4" w:rsidP="00C101A4">
      <w:pPr>
        <w:spacing w:line="360" w:lineRule="auto"/>
        <w:ind w:firstLine="708"/>
        <w:jc w:val="both"/>
        <w:rPr>
          <w:rFonts w:ascii="Myriad Pro" w:hAnsi="Myriad Pro" w:cs="Myriad Pro"/>
          <w:sz w:val="22"/>
          <w:szCs w:val="22"/>
        </w:rPr>
      </w:pPr>
      <w:r>
        <w:rPr>
          <w:rFonts w:ascii="Myriad Pro" w:hAnsi="Myriad Pro" w:cs="Myriad Pro"/>
          <w:sz w:val="22"/>
          <w:szCs w:val="22"/>
        </w:rPr>
        <w:t>Concepto</w:t>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t>Importe</w:t>
      </w:r>
      <w:r>
        <w:rPr>
          <w:rFonts w:ascii="Myriad Pro" w:hAnsi="Myriad Pro" w:cs="Myriad Pro"/>
          <w:sz w:val="22"/>
          <w:szCs w:val="22"/>
        </w:rPr>
        <w:tab/>
      </w:r>
      <w:proofErr w:type="gramStart"/>
      <w:r>
        <w:rPr>
          <w:rFonts w:ascii="Myriad Pro" w:hAnsi="Myriad Pro" w:cs="Myriad Pro"/>
          <w:sz w:val="22"/>
          <w:szCs w:val="22"/>
        </w:rPr>
        <w:t>IVA(</w:t>
      </w:r>
      <w:proofErr w:type="gramEnd"/>
      <w:r>
        <w:rPr>
          <w:rFonts w:ascii="Myriad Pro" w:hAnsi="Myriad Pro" w:cs="Myriad Pro"/>
          <w:sz w:val="22"/>
          <w:szCs w:val="22"/>
        </w:rPr>
        <w:t>21%)</w:t>
      </w:r>
      <w:r>
        <w:rPr>
          <w:rFonts w:ascii="Myriad Pro" w:hAnsi="Myriad Pro" w:cs="Myriad Pro"/>
          <w:sz w:val="22"/>
          <w:szCs w:val="22"/>
        </w:rPr>
        <w:tab/>
        <w:t>Total</w:t>
      </w:r>
    </w:p>
    <w:p w:rsidR="00C101A4" w:rsidRDefault="00C101A4" w:rsidP="00C101A4">
      <w:pPr>
        <w:spacing w:line="360" w:lineRule="auto"/>
        <w:jc w:val="both"/>
        <w:rPr>
          <w:rFonts w:ascii="Myriad Pro" w:hAnsi="Myriad Pro" w:cs="Myriad Pro"/>
          <w:sz w:val="22"/>
          <w:szCs w:val="22"/>
        </w:rPr>
      </w:pPr>
      <w:r>
        <w:rPr>
          <w:rFonts w:ascii="Myriad Pro" w:hAnsi="Myriad Pro" w:cs="Myriad Pro"/>
          <w:sz w:val="22"/>
          <w:szCs w:val="22"/>
        </w:rPr>
        <w:t>Servicios de Prevención</w:t>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t>3.000€</w:t>
      </w:r>
      <w:r>
        <w:rPr>
          <w:rFonts w:ascii="Myriad Pro" w:hAnsi="Myriad Pro" w:cs="Myriad Pro"/>
          <w:sz w:val="22"/>
          <w:szCs w:val="22"/>
        </w:rPr>
        <w:tab/>
      </w:r>
      <w:r>
        <w:rPr>
          <w:rFonts w:ascii="Myriad Pro" w:hAnsi="Myriad Pro" w:cs="Myriad Pro"/>
          <w:sz w:val="22"/>
          <w:szCs w:val="22"/>
        </w:rPr>
        <w:tab/>
        <w:t>630€</w:t>
      </w:r>
      <w:r>
        <w:rPr>
          <w:rFonts w:ascii="Myriad Pro" w:hAnsi="Myriad Pro" w:cs="Myriad Pro"/>
          <w:sz w:val="22"/>
          <w:szCs w:val="22"/>
        </w:rPr>
        <w:tab/>
      </w:r>
      <w:r>
        <w:rPr>
          <w:rFonts w:ascii="Myriad Pro" w:hAnsi="Myriad Pro" w:cs="Myriad Pro"/>
          <w:sz w:val="22"/>
          <w:szCs w:val="22"/>
        </w:rPr>
        <w:tab/>
        <w:t>3.630€</w:t>
      </w:r>
    </w:p>
    <w:p w:rsidR="00C101A4" w:rsidRDefault="00C101A4" w:rsidP="00C101A4">
      <w:pPr>
        <w:spacing w:line="360" w:lineRule="auto"/>
        <w:jc w:val="both"/>
        <w:rPr>
          <w:rFonts w:ascii="Myriad Pro" w:hAnsi="Myriad Pro" w:cs="Myriad Pro"/>
          <w:sz w:val="22"/>
          <w:szCs w:val="22"/>
        </w:rPr>
      </w:pPr>
      <w:r>
        <w:rPr>
          <w:rFonts w:ascii="Myriad Pro" w:hAnsi="Myriad Pro" w:cs="Myriad Pro"/>
          <w:sz w:val="22"/>
          <w:szCs w:val="22"/>
        </w:rPr>
        <w:t>Vigilancia de la Salud</w:t>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t>3.000€</w:t>
      </w:r>
      <w:r>
        <w:rPr>
          <w:rFonts w:ascii="Myriad Pro" w:hAnsi="Myriad Pro" w:cs="Myriad Pro"/>
          <w:sz w:val="22"/>
          <w:szCs w:val="22"/>
        </w:rPr>
        <w:tab/>
      </w:r>
      <w:r>
        <w:rPr>
          <w:rFonts w:ascii="Myriad Pro" w:hAnsi="Myriad Pro" w:cs="Myriad Pro"/>
          <w:sz w:val="22"/>
          <w:szCs w:val="22"/>
        </w:rPr>
        <w:tab/>
        <w:t>Exento</w:t>
      </w:r>
      <w:r>
        <w:rPr>
          <w:rFonts w:ascii="Myriad Pro" w:hAnsi="Myriad Pro" w:cs="Myriad Pro"/>
          <w:sz w:val="22"/>
          <w:szCs w:val="22"/>
        </w:rPr>
        <w:tab/>
      </w:r>
      <w:r>
        <w:rPr>
          <w:rFonts w:ascii="Myriad Pro" w:hAnsi="Myriad Pro" w:cs="Myriad Pro"/>
          <w:sz w:val="22"/>
          <w:szCs w:val="22"/>
        </w:rPr>
        <w:tab/>
        <w:t>3.000€</w:t>
      </w:r>
    </w:p>
    <w:p w:rsidR="00C101A4" w:rsidRDefault="00C101A4" w:rsidP="00C101A4">
      <w:pPr>
        <w:spacing w:line="360" w:lineRule="auto"/>
        <w:jc w:val="both"/>
        <w:rPr>
          <w:rFonts w:ascii="Arial" w:hAnsi="Arial" w:cs="Arial"/>
        </w:rPr>
      </w:pP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t>=====</w:t>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t>TOTAL</w:t>
      </w:r>
      <w:r>
        <w:rPr>
          <w:rFonts w:ascii="Myriad Pro" w:hAnsi="Myriad Pro" w:cs="Myriad Pro"/>
          <w:sz w:val="22"/>
          <w:szCs w:val="22"/>
        </w:rPr>
        <w:tab/>
        <w:t>6.630€</w:t>
      </w:r>
    </w:p>
    <w:p w:rsidR="00C101A4" w:rsidRDefault="00C101A4" w:rsidP="00C101A4">
      <w:pPr>
        <w:rPr>
          <w:rFonts w:ascii="Arial" w:hAnsi="Arial" w:cs="Arial"/>
        </w:rPr>
      </w:pPr>
    </w:p>
    <w:p w:rsidR="00C101A4" w:rsidRPr="006509EC" w:rsidRDefault="00C101A4" w:rsidP="00C101A4">
      <w:pPr>
        <w:rPr>
          <w:rFonts w:ascii="Arial" w:hAnsi="Arial" w:cs="Arial"/>
          <w:sz w:val="22"/>
          <w:szCs w:val="22"/>
        </w:rPr>
      </w:pPr>
      <w:r>
        <w:rPr>
          <w:rFonts w:ascii="Arial" w:hAnsi="Arial" w:cs="Arial"/>
        </w:rPr>
        <w:lastRenderedPageBreak/>
        <w:t xml:space="preserve">La vigencia del contrato será </w:t>
      </w:r>
      <w:r w:rsidRPr="006509EC">
        <w:rPr>
          <w:rFonts w:ascii="Arial" w:hAnsi="Arial" w:cs="Arial"/>
          <w:sz w:val="22"/>
          <w:szCs w:val="22"/>
        </w:rPr>
        <w:t>del 1 de enero de 20</w:t>
      </w:r>
      <w:r w:rsidR="00C3004A">
        <w:rPr>
          <w:rFonts w:ascii="Arial" w:hAnsi="Arial" w:cs="Arial"/>
          <w:sz w:val="22"/>
          <w:szCs w:val="22"/>
        </w:rPr>
        <w:t>20</w:t>
      </w:r>
      <w:r w:rsidRPr="006509EC">
        <w:rPr>
          <w:rFonts w:ascii="Arial" w:hAnsi="Arial" w:cs="Arial"/>
          <w:sz w:val="22"/>
          <w:szCs w:val="22"/>
        </w:rPr>
        <w:t xml:space="preserve"> al 31 de diciembre de 202</w:t>
      </w:r>
      <w:r w:rsidR="00C3004A">
        <w:rPr>
          <w:rFonts w:ascii="Arial" w:hAnsi="Arial" w:cs="Arial"/>
          <w:sz w:val="22"/>
          <w:szCs w:val="22"/>
        </w:rPr>
        <w:t>1</w:t>
      </w:r>
      <w:bookmarkStart w:id="0" w:name="_GoBack"/>
      <w:bookmarkEnd w:id="0"/>
    </w:p>
    <w:p w:rsidR="00C101A4" w:rsidRDefault="00C101A4" w:rsidP="00C101A4"/>
    <w:p w:rsidR="00C101A4" w:rsidRDefault="00C101A4" w:rsidP="00C101A4">
      <w:pPr>
        <w:pStyle w:val="Encabezado"/>
        <w:tabs>
          <w:tab w:val="clear" w:pos="4252"/>
          <w:tab w:val="clear" w:pos="8504"/>
        </w:tabs>
      </w:pPr>
      <w:r>
        <w:rPr>
          <w:b/>
          <w:bCs/>
        </w:rPr>
        <w:t>F) REVISIÓN DE PRECIOS</w:t>
      </w:r>
      <w:r>
        <w:t>: NO</w:t>
      </w:r>
    </w:p>
    <w:p w:rsidR="00C101A4" w:rsidRDefault="00C101A4" w:rsidP="00C101A4"/>
    <w:p w:rsidR="00C101A4" w:rsidRDefault="004571C4" w:rsidP="00C101A4">
      <w:r>
        <w:rPr>
          <w:b/>
          <w:bCs/>
        </w:rPr>
        <w:t>G) ADMISI</w:t>
      </w:r>
      <w:r w:rsidR="00C101A4">
        <w:rPr>
          <w:b/>
          <w:bCs/>
        </w:rPr>
        <w:t>ÓN VARIANTES O ALTERNATIVAS</w:t>
      </w:r>
      <w:r w:rsidR="00C101A4">
        <w:t>: NO</w:t>
      </w:r>
    </w:p>
    <w:p w:rsidR="00C101A4" w:rsidRDefault="00C101A4" w:rsidP="00C101A4">
      <w:pPr>
        <w:pStyle w:val="Encabezado"/>
        <w:tabs>
          <w:tab w:val="clear" w:pos="4252"/>
          <w:tab w:val="clear" w:pos="8504"/>
        </w:tabs>
      </w:pPr>
    </w:p>
    <w:p w:rsidR="00C101A4" w:rsidRDefault="00C101A4" w:rsidP="00C101A4">
      <w:r>
        <w:rPr>
          <w:b/>
          <w:bCs/>
        </w:rPr>
        <w:t>H) LUGAR DE ENTREGA DE LAS PROPOSICIONES</w:t>
      </w:r>
      <w:r>
        <w:t xml:space="preserve">: </w:t>
      </w:r>
    </w:p>
    <w:p w:rsidR="00C101A4" w:rsidRDefault="00C101A4" w:rsidP="00C101A4">
      <w:pPr>
        <w:pStyle w:val="Textoindependiente"/>
        <w:rPr>
          <w:rFonts w:ascii="Arial" w:hAnsi="Arial" w:cs="Arial"/>
        </w:rPr>
      </w:pPr>
      <w:r>
        <w:rPr>
          <w:rFonts w:ascii="Arial" w:hAnsi="Arial" w:cs="Arial"/>
        </w:rPr>
        <w:t>Las proposiciones, junto con la documentación preceptiva, se presentarán en el plazo de 15 días naturales posteriores al de la publicación del anuncio en el Perfil del Contratante del Consorcio, en la oficina de la administración del Consorcio Orquesta Ciudad de Málaga sita en C/Palestina</w:t>
      </w:r>
      <w:proofErr w:type="gramStart"/>
      <w:r>
        <w:rPr>
          <w:rFonts w:ascii="Arial" w:hAnsi="Arial" w:cs="Arial"/>
        </w:rPr>
        <w:t>,7</w:t>
      </w:r>
      <w:proofErr w:type="gramEnd"/>
      <w:r>
        <w:rPr>
          <w:rFonts w:ascii="Arial" w:hAnsi="Arial" w:cs="Arial"/>
        </w:rPr>
        <w:t xml:space="preserve"> 1ºplanta en horario de atención al público de 10.00h a 14.00h, excepto sábados y festivos. Si cayese en sábado se trasladará al siguiente día hábil, dentro del plazo y hora que se fije en el anuncio de convocatoria </w:t>
      </w:r>
    </w:p>
    <w:p w:rsidR="00C101A4" w:rsidRDefault="00C101A4" w:rsidP="00C101A4"/>
    <w:p w:rsidR="00C101A4" w:rsidRDefault="00C101A4" w:rsidP="00C101A4">
      <w:r>
        <w:rPr>
          <w:b/>
          <w:bCs/>
        </w:rPr>
        <w:t>I) GARANTÍA PROVISIONAL</w:t>
      </w:r>
      <w:r>
        <w:t xml:space="preserve">: NO         </w:t>
      </w:r>
      <w:r>
        <w:rPr>
          <w:b/>
          <w:bCs/>
        </w:rPr>
        <w:t>GARANTÍA DEFINITIVA</w:t>
      </w:r>
      <w:r>
        <w:t>: NO</w:t>
      </w:r>
    </w:p>
    <w:p w:rsidR="00C101A4" w:rsidRDefault="00C101A4" w:rsidP="00C101A4"/>
    <w:p w:rsidR="00C101A4" w:rsidRDefault="00C101A4" w:rsidP="00C101A4">
      <w:r>
        <w:rPr>
          <w:b/>
          <w:bCs/>
        </w:rPr>
        <w:t xml:space="preserve">J) </w:t>
      </w:r>
      <w:proofErr w:type="gramStart"/>
      <w:r>
        <w:rPr>
          <w:b/>
          <w:bCs/>
        </w:rPr>
        <w:t>PRÓRROGA</w:t>
      </w:r>
      <w:r>
        <w:t xml:space="preserve"> :</w:t>
      </w:r>
      <w:proofErr w:type="gramEnd"/>
      <w:r>
        <w:t xml:space="preserve"> </w:t>
      </w:r>
      <w:r w:rsidR="00C219C0">
        <w:t>SI</w:t>
      </w:r>
    </w:p>
    <w:p w:rsidR="00C101A4" w:rsidRDefault="00C101A4" w:rsidP="00C101A4"/>
    <w:p w:rsidR="00C101A4" w:rsidRDefault="00C101A4" w:rsidP="00C101A4">
      <w:r w:rsidRPr="001561F3">
        <w:rPr>
          <w:b/>
        </w:rPr>
        <w:t>K) ACREDITACIÓN SOLVENCIA ECONÓMICA Y FINANCIERA:</w:t>
      </w:r>
      <w:r>
        <w:t xml:space="preserve"> NO</w:t>
      </w:r>
    </w:p>
    <w:p w:rsidR="006F1D26" w:rsidRDefault="006F1D26"/>
    <w:sectPr w:rsidR="006F1D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46387"/>
    <w:multiLevelType w:val="hybridMultilevel"/>
    <w:tmpl w:val="E618D056"/>
    <w:lvl w:ilvl="0" w:tplc="6A3A97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A4"/>
    <w:rsid w:val="004571C4"/>
    <w:rsid w:val="006F1D26"/>
    <w:rsid w:val="00C101A4"/>
    <w:rsid w:val="00C219C0"/>
    <w:rsid w:val="00C3004A"/>
    <w:rsid w:val="00C92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101A4"/>
    <w:pPr>
      <w:tabs>
        <w:tab w:val="center" w:pos="4252"/>
        <w:tab w:val="right" w:pos="8504"/>
      </w:tabs>
    </w:pPr>
  </w:style>
  <w:style w:type="character" w:customStyle="1" w:styleId="EncabezadoCar">
    <w:name w:val="Encabezado Car"/>
    <w:basedOn w:val="Fuentedeprrafopredeter"/>
    <w:link w:val="Encabezado"/>
    <w:rsid w:val="00C101A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C101A4"/>
    <w:pPr>
      <w:tabs>
        <w:tab w:val="center" w:pos="4252"/>
        <w:tab w:val="right" w:pos="8504"/>
      </w:tabs>
      <w:jc w:val="both"/>
    </w:pPr>
    <w:rPr>
      <w:rFonts w:ascii="Arial" w:hAnsi="Arial" w:cs="Arial"/>
    </w:rPr>
  </w:style>
  <w:style w:type="character" w:customStyle="1" w:styleId="Textoindependiente2Car">
    <w:name w:val="Texto independiente 2 Car"/>
    <w:basedOn w:val="Fuentedeprrafopredeter"/>
    <w:link w:val="Textoindependiente2"/>
    <w:uiPriority w:val="99"/>
    <w:rsid w:val="00C101A4"/>
    <w:rPr>
      <w:rFonts w:ascii="Arial" w:eastAsia="Times New Roman" w:hAnsi="Arial" w:cs="Arial"/>
      <w:sz w:val="24"/>
      <w:szCs w:val="24"/>
      <w:lang w:eastAsia="es-ES"/>
    </w:rPr>
  </w:style>
  <w:style w:type="paragraph" w:styleId="Textoindependiente">
    <w:name w:val="Body Text"/>
    <w:basedOn w:val="Normal"/>
    <w:link w:val="TextoindependienteCar"/>
    <w:uiPriority w:val="99"/>
    <w:rsid w:val="00C101A4"/>
    <w:pPr>
      <w:jc w:val="both"/>
    </w:pPr>
    <w:rPr>
      <w:rFonts w:ascii="Cambria" w:hAnsi="Cambria" w:cs="Cambria"/>
    </w:rPr>
  </w:style>
  <w:style w:type="character" w:customStyle="1" w:styleId="TextoindependienteCar">
    <w:name w:val="Texto independiente Car"/>
    <w:basedOn w:val="Fuentedeprrafopredeter"/>
    <w:link w:val="Textoindependiente"/>
    <w:uiPriority w:val="99"/>
    <w:rsid w:val="00C101A4"/>
    <w:rPr>
      <w:rFonts w:ascii="Cambria" w:eastAsia="Times New Roman" w:hAnsi="Cambria" w:cs="Cambria"/>
      <w:sz w:val="24"/>
      <w:szCs w:val="24"/>
      <w:lang w:eastAsia="es-ES"/>
    </w:rPr>
  </w:style>
  <w:style w:type="paragraph" w:styleId="Prrafodelista">
    <w:name w:val="List Paragraph"/>
    <w:basedOn w:val="Normal"/>
    <w:uiPriority w:val="34"/>
    <w:qFormat/>
    <w:rsid w:val="00C10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101A4"/>
    <w:pPr>
      <w:tabs>
        <w:tab w:val="center" w:pos="4252"/>
        <w:tab w:val="right" w:pos="8504"/>
      </w:tabs>
    </w:pPr>
  </w:style>
  <w:style w:type="character" w:customStyle="1" w:styleId="EncabezadoCar">
    <w:name w:val="Encabezado Car"/>
    <w:basedOn w:val="Fuentedeprrafopredeter"/>
    <w:link w:val="Encabezado"/>
    <w:rsid w:val="00C101A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C101A4"/>
    <w:pPr>
      <w:tabs>
        <w:tab w:val="center" w:pos="4252"/>
        <w:tab w:val="right" w:pos="8504"/>
      </w:tabs>
      <w:jc w:val="both"/>
    </w:pPr>
    <w:rPr>
      <w:rFonts w:ascii="Arial" w:hAnsi="Arial" w:cs="Arial"/>
    </w:rPr>
  </w:style>
  <w:style w:type="character" w:customStyle="1" w:styleId="Textoindependiente2Car">
    <w:name w:val="Texto independiente 2 Car"/>
    <w:basedOn w:val="Fuentedeprrafopredeter"/>
    <w:link w:val="Textoindependiente2"/>
    <w:uiPriority w:val="99"/>
    <w:rsid w:val="00C101A4"/>
    <w:rPr>
      <w:rFonts w:ascii="Arial" w:eastAsia="Times New Roman" w:hAnsi="Arial" w:cs="Arial"/>
      <w:sz w:val="24"/>
      <w:szCs w:val="24"/>
      <w:lang w:eastAsia="es-ES"/>
    </w:rPr>
  </w:style>
  <w:style w:type="paragraph" w:styleId="Textoindependiente">
    <w:name w:val="Body Text"/>
    <w:basedOn w:val="Normal"/>
    <w:link w:val="TextoindependienteCar"/>
    <w:uiPriority w:val="99"/>
    <w:rsid w:val="00C101A4"/>
    <w:pPr>
      <w:jc w:val="both"/>
    </w:pPr>
    <w:rPr>
      <w:rFonts w:ascii="Cambria" w:hAnsi="Cambria" w:cs="Cambria"/>
    </w:rPr>
  </w:style>
  <w:style w:type="character" w:customStyle="1" w:styleId="TextoindependienteCar">
    <w:name w:val="Texto independiente Car"/>
    <w:basedOn w:val="Fuentedeprrafopredeter"/>
    <w:link w:val="Textoindependiente"/>
    <w:uiPriority w:val="99"/>
    <w:rsid w:val="00C101A4"/>
    <w:rPr>
      <w:rFonts w:ascii="Cambria" w:eastAsia="Times New Roman" w:hAnsi="Cambria" w:cs="Cambria"/>
      <w:sz w:val="24"/>
      <w:szCs w:val="24"/>
      <w:lang w:eastAsia="es-ES"/>
    </w:rPr>
  </w:style>
  <w:style w:type="paragraph" w:styleId="Prrafodelista">
    <w:name w:val="List Paragraph"/>
    <w:basedOn w:val="Normal"/>
    <w:uiPriority w:val="34"/>
    <w:qFormat/>
    <w:rsid w:val="00C1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Ramírez Aguilar, Juan Carlos</dc:creator>
  <cp:lastModifiedBy>Ramírez Aguilar, Juan Carlos</cp:lastModifiedBy>
  <cp:revision>5</cp:revision>
  <cp:lastPrinted>2019-05-14T10:18:00Z</cp:lastPrinted>
  <dcterms:created xsi:type="dcterms:W3CDTF">2018-11-19T07:36:00Z</dcterms:created>
  <dcterms:modified xsi:type="dcterms:W3CDTF">2019-05-14T10:18:00Z</dcterms:modified>
</cp:coreProperties>
</file>